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3D" w:rsidRPr="00E5123D" w:rsidRDefault="00E5123D" w:rsidP="00E512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123D">
        <w:rPr>
          <w:rFonts w:ascii="Arial" w:eastAsia="Times New Roman" w:hAnsi="Arial" w:cs="Arial"/>
          <w:b/>
          <w:bCs/>
          <w:color w:val="333333"/>
          <w:sz w:val="20"/>
          <w:szCs w:val="20"/>
        </w:rPr>
        <w:t>Spade</w:t>
      </w:r>
      <w:r w:rsidRPr="00E5123D">
        <w:rPr>
          <w:rFonts w:ascii="Arial" w:eastAsia="Times New Roman" w:hAnsi="Arial" w:cs="Arial"/>
          <w:color w:val="333333"/>
          <w:sz w:val="20"/>
          <w:szCs w:val="20"/>
        </w:rPr>
        <w:t> es absorbido por vía radicular y a través del hipocotilo, y se trasloca hacia el ápice y los bordes de las hojas en crecimiento. Actúa inhibiendo la síntesis de los carotenoides que protegen la clorofila de la acción de la luz solar.</w:t>
      </w:r>
    </w:p>
    <w:p w:rsidR="00E5123D" w:rsidRPr="00E5123D" w:rsidRDefault="00E5123D" w:rsidP="00E51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123D">
        <w:rPr>
          <w:rFonts w:ascii="Arial" w:eastAsia="Times New Roman" w:hAnsi="Arial" w:cs="Arial"/>
          <w:b/>
          <w:bCs/>
          <w:color w:val="333333"/>
          <w:sz w:val="20"/>
          <w:szCs w:val="20"/>
        </w:rPr>
        <w:t>Aplicaciones autorizadas</w:t>
      </w:r>
      <w:r w:rsidRPr="00E5123D">
        <w:rPr>
          <w:rFonts w:ascii="Arial" w:eastAsia="Times New Roman" w:hAnsi="Arial" w:cs="Arial"/>
          <w:color w:val="333333"/>
          <w:sz w:val="20"/>
          <w:szCs w:val="20"/>
        </w:rPr>
        <w:br/>
        <w:t>Tratamientos herbicidas en cultivo del maíz y adormidera, contra malas hierbas anuales; debe aplicarse en pre-emergencia de los cultivos y de las malas hierbas. Destaca su buen control sobre malas hierbas resistentes como : Abutilon spp.; Chenopodium album; Solanum nigrum, etc.</w:t>
      </w:r>
      <w:r w:rsidRPr="00E5123D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5123D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5123D">
        <w:rPr>
          <w:rFonts w:ascii="Arial" w:eastAsia="Times New Roman" w:hAnsi="Arial" w:cs="Arial"/>
          <w:b/>
          <w:bCs/>
          <w:color w:val="333333"/>
          <w:sz w:val="20"/>
          <w:szCs w:val="20"/>
        </w:rPr>
        <w:t>Dosis y modo de empleo</w:t>
      </w:r>
    </w:p>
    <w:p w:rsidR="00E5123D" w:rsidRPr="00E5123D" w:rsidRDefault="00E5123D" w:rsidP="00E51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123D">
        <w:rPr>
          <w:rFonts w:ascii="Arial" w:eastAsia="Times New Roman" w:hAnsi="Arial" w:cs="Arial"/>
          <w:color w:val="333333"/>
          <w:sz w:val="20"/>
          <w:szCs w:val="20"/>
        </w:rPr>
        <w:t>Maiz: aplicar en pulverización normal a la dosis de 70 -135 g/ha; usar las dosis más altas en suelos arcillosos.y con alto contenido en materia orgánica</w:t>
      </w:r>
    </w:p>
    <w:p w:rsidR="00E5123D" w:rsidRPr="00E5123D" w:rsidRDefault="00E5123D" w:rsidP="00E51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123D">
        <w:rPr>
          <w:rFonts w:ascii="Arial" w:eastAsia="Times New Roman" w:hAnsi="Arial" w:cs="Arial"/>
          <w:color w:val="333333"/>
          <w:sz w:val="20"/>
          <w:szCs w:val="20"/>
        </w:rPr>
        <w:t>Adormidera: aplicar en pulverización normal a la dosis de 60 -80 g/ha.</w:t>
      </w:r>
    </w:p>
    <w:p w:rsidR="00E5123D" w:rsidRPr="00E5123D" w:rsidRDefault="00E5123D" w:rsidP="00E51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123D">
        <w:rPr>
          <w:rFonts w:ascii="Arial" w:eastAsia="Times New Roman" w:hAnsi="Arial" w:cs="Arial"/>
          <w:color w:val="333333"/>
          <w:sz w:val="20"/>
          <w:szCs w:val="20"/>
        </w:rPr>
        <w:t>Diluir la dosis a aplicar por hectárea, en 200 - 500 litros de agua</w:t>
      </w:r>
    </w:p>
    <w:p w:rsidR="00E5123D" w:rsidRPr="00E5123D" w:rsidRDefault="00E5123D" w:rsidP="00E51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123D">
        <w:rPr>
          <w:rFonts w:ascii="Arial" w:eastAsia="Times New Roman" w:hAnsi="Arial" w:cs="Arial"/>
          <w:color w:val="333333"/>
          <w:sz w:val="20"/>
          <w:szCs w:val="20"/>
        </w:rPr>
        <w:t>En caso de fuerte infestación de gramíneas (Echinochloa, Digitaria, Setaria) se recomienda la mezcla con un herbicida antigramíneo específico autorizado.</w:t>
      </w:r>
    </w:p>
    <w:p w:rsidR="00E5123D" w:rsidRPr="00E5123D" w:rsidRDefault="00E5123D" w:rsidP="00E51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123D">
        <w:rPr>
          <w:rFonts w:ascii="Arial" w:eastAsia="Times New Roman" w:hAnsi="Arial" w:cs="Arial"/>
          <w:color w:val="333333"/>
          <w:sz w:val="20"/>
          <w:szCs w:val="20"/>
        </w:rPr>
        <w:t>Riegos o lluvias posteriores a la aplicación, dentro de un intervalo de 2 a 3 semanas, mejoran la eficacia del producto.</w:t>
      </w:r>
    </w:p>
    <w:p w:rsidR="00E5123D" w:rsidRPr="00E5123D" w:rsidRDefault="00E5123D" w:rsidP="00E51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123D">
        <w:rPr>
          <w:rFonts w:ascii="Arial" w:eastAsia="Times New Roman" w:hAnsi="Arial" w:cs="Arial"/>
          <w:color w:val="333333"/>
          <w:sz w:val="20"/>
          <w:szCs w:val="20"/>
        </w:rPr>
        <w:t>No aplicar con viento fuerte. No aplicar en suelos arenosos o pedregosos, ni con bajo contenido en materia orgánica.</w:t>
      </w:r>
    </w:p>
    <w:p w:rsidR="00E5123D" w:rsidRPr="00E5123D" w:rsidRDefault="00E5123D" w:rsidP="00E51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123D">
        <w:rPr>
          <w:rFonts w:ascii="Arial" w:eastAsia="Times New Roman" w:hAnsi="Arial" w:cs="Arial"/>
          <w:color w:val="333333"/>
          <w:sz w:val="20"/>
          <w:szCs w:val="20"/>
        </w:rPr>
        <w:t>En caso de fallo del cultivo se puede volver a sembrar a los 50 - 150 días del tratamiento y tras un laboreo: maíz, maíz dulce, patata, ray grass, zanahoria y guisante. No se recomienda sembrar soja, girasol, crucíferas ni espinacas.</w:t>
      </w:r>
    </w:p>
    <w:p w:rsidR="00E5123D" w:rsidRPr="00E5123D" w:rsidRDefault="00E5123D" w:rsidP="00E51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123D">
        <w:rPr>
          <w:rFonts w:ascii="Arial" w:eastAsia="Times New Roman" w:hAnsi="Arial" w:cs="Arial"/>
          <w:color w:val="333333"/>
          <w:sz w:val="20"/>
          <w:szCs w:val="20"/>
        </w:rPr>
        <w:t>La aplicación se realizará mediante tractor, debiéndose utilizar guantes de protección durante las operaciones de mezcla, carga y aplicación, así como ropa de protección adecuada para el tronco y las piernas.</w:t>
      </w:r>
    </w:p>
    <w:p w:rsidR="00E5123D" w:rsidRPr="00E5123D" w:rsidRDefault="00E5123D" w:rsidP="00E5123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123D">
        <w:rPr>
          <w:rFonts w:ascii="Arial" w:eastAsia="Times New Roman" w:hAnsi="Arial" w:cs="Arial"/>
          <w:b/>
          <w:bCs/>
          <w:color w:val="333333"/>
          <w:sz w:val="20"/>
          <w:szCs w:val="20"/>
        </w:rPr>
        <w:t>Plazo de seguridad</w:t>
      </w:r>
      <w:r w:rsidRPr="00E5123D">
        <w:rPr>
          <w:rFonts w:ascii="Arial" w:eastAsia="Times New Roman" w:hAnsi="Arial" w:cs="Arial"/>
          <w:color w:val="333333"/>
          <w:sz w:val="20"/>
          <w:szCs w:val="20"/>
        </w:rPr>
        <w:br/>
        <w:t>No procede.</w:t>
      </w:r>
      <w:r w:rsidRPr="00E5123D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5123D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5123D">
        <w:rPr>
          <w:rFonts w:ascii="Arial" w:eastAsia="Times New Roman" w:hAnsi="Arial" w:cs="Arial"/>
          <w:b/>
          <w:bCs/>
          <w:color w:val="333333"/>
          <w:sz w:val="20"/>
          <w:szCs w:val="20"/>
        </w:rPr>
        <w:t>Envases</w:t>
      </w:r>
      <w:r w:rsidRPr="00E5123D">
        <w:rPr>
          <w:rFonts w:ascii="Arial" w:eastAsia="Times New Roman" w:hAnsi="Arial" w:cs="Arial"/>
          <w:color w:val="333333"/>
          <w:sz w:val="20"/>
          <w:szCs w:val="20"/>
        </w:rPr>
        <w:t>: 500 g.</w:t>
      </w:r>
      <w:r w:rsidRPr="00E5123D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5123D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5123D">
        <w:rPr>
          <w:rFonts w:ascii="Arial" w:eastAsia="Times New Roman" w:hAnsi="Arial" w:cs="Arial"/>
          <w:b/>
          <w:bCs/>
          <w:color w:val="333333"/>
          <w:sz w:val="20"/>
          <w:szCs w:val="20"/>
        </w:rPr>
        <w:t>Materia activa</w:t>
      </w:r>
      <w:r w:rsidRPr="00E5123D">
        <w:rPr>
          <w:rFonts w:ascii="Arial" w:eastAsia="Times New Roman" w:hAnsi="Arial" w:cs="Arial"/>
          <w:color w:val="333333"/>
          <w:sz w:val="20"/>
          <w:szCs w:val="20"/>
        </w:rPr>
        <w:t>: 75% isoxaflutol.</w:t>
      </w:r>
      <w:r w:rsidRPr="00E5123D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5123D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5123D">
        <w:rPr>
          <w:rFonts w:ascii="Arial" w:eastAsia="Times New Roman" w:hAnsi="Arial" w:cs="Arial"/>
          <w:b/>
          <w:bCs/>
          <w:color w:val="333333"/>
          <w:sz w:val="20"/>
          <w:szCs w:val="20"/>
        </w:rPr>
        <w:t>Nº de registro</w:t>
      </w:r>
      <w:r w:rsidRPr="00E5123D">
        <w:rPr>
          <w:rFonts w:ascii="Arial" w:eastAsia="Times New Roman" w:hAnsi="Arial" w:cs="Arial"/>
          <w:color w:val="333333"/>
          <w:sz w:val="20"/>
          <w:szCs w:val="20"/>
        </w:rPr>
        <w:t>: 21,685.</w:t>
      </w:r>
      <w:r w:rsidRPr="00E5123D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5123D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5123D">
        <w:rPr>
          <w:rFonts w:ascii="Arial" w:eastAsia="Times New Roman" w:hAnsi="Arial" w:cs="Arial"/>
          <w:b/>
          <w:bCs/>
          <w:color w:val="333333"/>
          <w:sz w:val="20"/>
          <w:szCs w:val="20"/>
        </w:rPr>
        <w:t>Clasificación toxicológica</w:t>
      </w:r>
      <w:r w:rsidRPr="00E5123D">
        <w:rPr>
          <w:rFonts w:ascii="Arial" w:eastAsia="Times New Roman" w:hAnsi="Arial" w:cs="Arial"/>
          <w:color w:val="333333"/>
          <w:sz w:val="20"/>
          <w:szCs w:val="20"/>
        </w:rPr>
        <w:t>: Nocivo (Xn), Peligroso para el medio ambiente (N).</w:t>
      </w:r>
    </w:p>
    <w:p w:rsidR="000047BF" w:rsidRPr="00E5123D" w:rsidRDefault="000047BF">
      <w:pPr>
        <w:rPr>
          <w:sz w:val="20"/>
          <w:szCs w:val="20"/>
        </w:rPr>
      </w:pPr>
    </w:p>
    <w:sectPr w:rsidR="000047BF" w:rsidRPr="00E51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52C5D"/>
    <w:multiLevelType w:val="multilevel"/>
    <w:tmpl w:val="F632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FELayout/>
  </w:compat>
  <w:rsids>
    <w:rsidRoot w:val="00E5123D"/>
    <w:rsid w:val="000047BF"/>
    <w:rsid w:val="00E5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51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4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FF6699"/>
                <w:right w:val="none" w:sz="0" w:space="0" w:color="auto"/>
              </w:divBdr>
              <w:divsChild>
                <w:div w:id="17974040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INTERNET2</dc:creator>
  <cp:keywords/>
  <dc:description/>
  <cp:lastModifiedBy>INTERNET2</cp:lastModifiedBy>
  <cp:revision>2</cp:revision>
  <dcterms:created xsi:type="dcterms:W3CDTF">2014-11-14T10:25:00Z</dcterms:created>
  <dcterms:modified xsi:type="dcterms:W3CDTF">2014-11-14T10:25:00Z</dcterms:modified>
</cp:coreProperties>
</file>